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61B3" w:rsidRDefault="00F761B3" w:rsidP="00F761B3">
      <w:pPr>
        <w:spacing w:before="196"/>
        <w:rPr>
          <w:rFonts w:ascii="SassoonCRInfant" w:hAnsi="SassoonCRInfant"/>
          <w:b/>
          <w:color w:val="292526"/>
          <w:sz w:val="28"/>
          <w:szCs w:val="28"/>
        </w:rPr>
      </w:pPr>
    </w:p>
    <w:p w:rsidR="00F761B3" w:rsidRDefault="00F761B3" w:rsidP="00F761B3">
      <w:pPr>
        <w:spacing w:before="196"/>
        <w:rPr>
          <w:rFonts w:ascii="SassoonCRInfant" w:hAnsi="SassoonCRInfant"/>
          <w:b/>
          <w:color w:val="292526"/>
          <w:sz w:val="28"/>
          <w:szCs w:val="28"/>
        </w:rPr>
      </w:pPr>
      <w:r w:rsidRPr="003A659D">
        <w:rPr>
          <w:rFonts w:ascii="SassoonCRInfant" w:hAnsi="SassoonCRInfant"/>
          <w:b/>
          <w:color w:val="292526"/>
          <w:sz w:val="28"/>
          <w:szCs w:val="28"/>
        </w:rPr>
        <w:t xml:space="preserve">Trinity St Mary’s C of E Primary School </w:t>
      </w:r>
      <w:r w:rsidRPr="003A659D">
        <w:rPr>
          <w:rFonts w:ascii="SassoonCRInfant" w:hAnsi="SassoonCRInfant"/>
          <w:b/>
          <w:color w:val="292526"/>
          <w:sz w:val="28"/>
          <w:szCs w:val="28"/>
        </w:rPr>
        <w:tab/>
        <w:t xml:space="preserve">Year </w:t>
      </w:r>
      <w:r>
        <w:rPr>
          <w:rFonts w:ascii="SassoonCRInfant" w:hAnsi="SassoonCRInfant"/>
          <w:b/>
          <w:color w:val="292526"/>
          <w:sz w:val="28"/>
          <w:szCs w:val="28"/>
        </w:rPr>
        <w:t>4</w:t>
      </w:r>
      <w:r w:rsidRPr="003A659D">
        <w:rPr>
          <w:rFonts w:ascii="SassoonCRInfant" w:hAnsi="SassoonCRInfant"/>
          <w:b/>
          <w:color w:val="292526"/>
          <w:sz w:val="28"/>
          <w:szCs w:val="28"/>
        </w:rPr>
        <w:t xml:space="preserve"> Writing Assessment Checklist</w:t>
      </w:r>
    </w:p>
    <w:p w:rsidR="00F761B3" w:rsidRPr="003A659D" w:rsidRDefault="00F761B3" w:rsidP="00F761B3">
      <w:pPr>
        <w:spacing w:before="196"/>
        <w:rPr>
          <w:rFonts w:ascii="SassoonCRInfant" w:hAnsi="SassoonCRInfant"/>
          <w:b/>
          <w:color w:val="292526"/>
          <w:sz w:val="28"/>
          <w:szCs w:val="28"/>
        </w:rPr>
      </w:pPr>
    </w:p>
    <w:p w:rsidR="00122172" w:rsidRPr="00F761B3" w:rsidRDefault="008050C2" w:rsidP="00451F7D">
      <w:pPr>
        <w:pStyle w:val="BodyText"/>
        <w:spacing w:before="162" w:line="300" w:lineRule="auto"/>
        <w:ind w:left="284" w:right="204"/>
        <w:jc w:val="both"/>
        <w:rPr>
          <w:rFonts w:ascii="SassoonCRInfant" w:hAnsi="SassoonCRInfant"/>
          <w:sz w:val="22"/>
        </w:rPr>
      </w:pPr>
      <w:r w:rsidRPr="00F761B3">
        <w:rPr>
          <w:rFonts w:ascii="SassoonCRInfant" w:hAnsi="SassoonCRInfant"/>
          <w:color w:val="292526"/>
          <w:sz w:val="22"/>
        </w:rPr>
        <w:t>These</w:t>
      </w:r>
      <w:r w:rsidRPr="00F761B3">
        <w:rPr>
          <w:rFonts w:ascii="SassoonCRInfant" w:hAnsi="SassoonCRInfant"/>
          <w:color w:val="292526"/>
          <w:spacing w:val="-6"/>
          <w:sz w:val="22"/>
        </w:rPr>
        <w:t xml:space="preserve"> </w:t>
      </w:r>
      <w:r w:rsidRPr="00F761B3">
        <w:rPr>
          <w:rFonts w:ascii="SassoonCRInfant" w:hAnsi="SassoonCRInfant"/>
          <w:color w:val="292526"/>
          <w:sz w:val="22"/>
        </w:rPr>
        <w:t>writing</w:t>
      </w:r>
      <w:r w:rsidRPr="00F761B3">
        <w:rPr>
          <w:rFonts w:ascii="SassoonCRInfant" w:hAnsi="SassoonCRInfant"/>
          <w:color w:val="292526"/>
          <w:spacing w:val="-6"/>
          <w:sz w:val="22"/>
        </w:rPr>
        <w:t xml:space="preserve"> </w:t>
      </w:r>
      <w:r w:rsidRPr="00F761B3">
        <w:rPr>
          <w:rFonts w:ascii="SassoonCRInfant" w:hAnsi="SassoonCRInfant"/>
          <w:color w:val="292526"/>
          <w:sz w:val="22"/>
        </w:rPr>
        <w:t>checklists</w:t>
      </w:r>
      <w:r w:rsidRPr="00F761B3">
        <w:rPr>
          <w:rFonts w:ascii="SassoonCRInfant" w:hAnsi="SassoonCRInfant"/>
          <w:color w:val="292526"/>
          <w:spacing w:val="-5"/>
          <w:sz w:val="22"/>
        </w:rPr>
        <w:t xml:space="preserve"> </w:t>
      </w:r>
      <w:r w:rsidRPr="00F761B3">
        <w:rPr>
          <w:rFonts w:ascii="SassoonCRInfant" w:hAnsi="SassoonCRInfant"/>
          <w:color w:val="292526"/>
          <w:sz w:val="22"/>
        </w:rPr>
        <w:t>link</w:t>
      </w:r>
      <w:r w:rsidRPr="00F761B3">
        <w:rPr>
          <w:rFonts w:ascii="SassoonCRInfant" w:hAnsi="SassoonCRInfant"/>
          <w:color w:val="292526"/>
          <w:spacing w:val="-5"/>
          <w:sz w:val="22"/>
        </w:rPr>
        <w:t xml:space="preserve"> </w:t>
      </w:r>
      <w:r w:rsidRPr="00F761B3">
        <w:rPr>
          <w:rFonts w:ascii="SassoonCRInfant" w:hAnsi="SassoonCRInfant"/>
          <w:color w:val="292526"/>
          <w:sz w:val="22"/>
        </w:rPr>
        <w:t>to</w:t>
      </w:r>
      <w:r w:rsidRPr="00F761B3">
        <w:rPr>
          <w:rFonts w:ascii="SassoonCRInfant" w:hAnsi="SassoonCRInfant"/>
          <w:color w:val="292526"/>
          <w:spacing w:val="-6"/>
          <w:sz w:val="22"/>
        </w:rPr>
        <w:t xml:space="preserve"> </w:t>
      </w:r>
      <w:r w:rsidRPr="00F761B3">
        <w:rPr>
          <w:rFonts w:ascii="SassoonCRInfant" w:hAnsi="SassoonCRInfant"/>
          <w:color w:val="292526"/>
          <w:sz w:val="22"/>
        </w:rPr>
        <w:t>the</w:t>
      </w:r>
      <w:r w:rsidRPr="00F761B3">
        <w:rPr>
          <w:rFonts w:ascii="SassoonCRInfant" w:hAnsi="SassoonCRInfant"/>
          <w:color w:val="292526"/>
          <w:spacing w:val="-5"/>
          <w:sz w:val="22"/>
        </w:rPr>
        <w:t xml:space="preserve"> </w:t>
      </w:r>
      <w:r w:rsidRPr="00F761B3">
        <w:rPr>
          <w:rFonts w:ascii="SassoonCRInfant" w:hAnsi="SassoonCRInfant"/>
          <w:color w:val="292526"/>
          <w:sz w:val="22"/>
        </w:rPr>
        <w:t>expectations</w:t>
      </w:r>
      <w:r w:rsidRPr="00F761B3">
        <w:rPr>
          <w:rFonts w:ascii="SassoonCRInfant" w:hAnsi="SassoonCRInfant"/>
          <w:color w:val="292526"/>
          <w:spacing w:val="-5"/>
          <w:sz w:val="22"/>
        </w:rPr>
        <w:t xml:space="preserve"> </w:t>
      </w:r>
      <w:r w:rsidRPr="00F761B3">
        <w:rPr>
          <w:rFonts w:ascii="SassoonCRInfant" w:hAnsi="SassoonCRInfant"/>
          <w:color w:val="292526"/>
          <w:sz w:val="22"/>
        </w:rPr>
        <w:t>set</w:t>
      </w:r>
      <w:r w:rsidRPr="00F761B3">
        <w:rPr>
          <w:rFonts w:ascii="SassoonCRInfant" w:hAnsi="SassoonCRInfant"/>
          <w:color w:val="292526"/>
          <w:spacing w:val="-6"/>
          <w:sz w:val="22"/>
        </w:rPr>
        <w:t xml:space="preserve"> </w:t>
      </w:r>
      <w:r w:rsidRPr="00F761B3">
        <w:rPr>
          <w:rFonts w:ascii="SassoonCRInfant" w:hAnsi="SassoonCRInfant"/>
          <w:color w:val="292526"/>
          <w:sz w:val="22"/>
        </w:rPr>
        <w:t>out</w:t>
      </w:r>
      <w:r w:rsidRPr="00F761B3">
        <w:rPr>
          <w:rFonts w:ascii="SassoonCRInfant" w:hAnsi="SassoonCRInfant"/>
          <w:color w:val="292526"/>
          <w:spacing w:val="-5"/>
          <w:sz w:val="22"/>
        </w:rPr>
        <w:t xml:space="preserve"> </w:t>
      </w:r>
      <w:r w:rsidRPr="00F761B3">
        <w:rPr>
          <w:rFonts w:ascii="SassoonCRInfant" w:hAnsi="SassoonCRInfant"/>
          <w:color w:val="292526"/>
          <w:sz w:val="22"/>
        </w:rPr>
        <w:t>in</w:t>
      </w:r>
      <w:r w:rsidRPr="00F761B3">
        <w:rPr>
          <w:rFonts w:ascii="SassoonCRInfant" w:hAnsi="SassoonCRInfant"/>
          <w:color w:val="292526"/>
          <w:spacing w:val="-6"/>
          <w:sz w:val="22"/>
        </w:rPr>
        <w:t xml:space="preserve"> </w:t>
      </w:r>
      <w:r w:rsidRPr="00F761B3">
        <w:rPr>
          <w:rFonts w:ascii="SassoonCRInfant" w:hAnsi="SassoonCRInfant"/>
          <w:color w:val="292526"/>
          <w:sz w:val="22"/>
        </w:rPr>
        <w:t>the</w:t>
      </w:r>
      <w:r w:rsidRPr="00F761B3">
        <w:rPr>
          <w:rFonts w:ascii="SassoonCRInfant" w:hAnsi="SassoonCRInfant"/>
          <w:color w:val="292526"/>
          <w:spacing w:val="-5"/>
          <w:sz w:val="22"/>
        </w:rPr>
        <w:t xml:space="preserve"> </w:t>
      </w:r>
      <w:r w:rsidRPr="00F761B3">
        <w:rPr>
          <w:rFonts w:ascii="SassoonCRInfant" w:hAnsi="SassoonCRInfant"/>
          <w:color w:val="292526"/>
          <w:sz w:val="22"/>
        </w:rPr>
        <w:t>2014</w:t>
      </w:r>
      <w:r w:rsidRPr="00F761B3">
        <w:rPr>
          <w:rFonts w:ascii="SassoonCRInfant" w:hAnsi="SassoonCRInfant"/>
          <w:color w:val="292526"/>
          <w:spacing w:val="-5"/>
          <w:sz w:val="22"/>
        </w:rPr>
        <w:t xml:space="preserve"> </w:t>
      </w:r>
      <w:r w:rsidRPr="00F761B3">
        <w:rPr>
          <w:rFonts w:ascii="SassoonCRInfant" w:hAnsi="SassoonCRInfant"/>
          <w:color w:val="292526"/>
          <w:sz w:val="22"/>
        </w:rPr>
        <w:t>English</w:t>
      </w:r>
      <w:r w:rsidRPr="00F761B3">
        <w:rPr>
          <w:rFonts w:ascii="SassoonCRInfant" w:hAnsi="SassoonCRInfant"/>
          <w:color w:val="292526"/>
          <w:spacing w:val="-6"/>
          <w:sz w:val="22"/>
        </w:rPr>
        <w:t xml:space="preserve"> </w:t>
      </w:r>
      <w:r w:rsidRPr="00F761B3">
        <w:rPr>
          <w:rFonts w:ascii="SassoonCRInfant" w:hAnsi="SassoonCRInfant"/>
          <w:color w:val="292526"/>
          <w:sz w:val="22"/>
        </w:rPr>
        <w:t>National</w:t>
      </w:r>
      <w:r w:rsidRPr="00F761B3">
        <w:rPr>
          <w:rFonts w:ascii="SassoonCRInfant" w:hAnsi="SassoonCRInfant"/>
          <w:color w:val="292526"/>
          <w:spacing w:val="-5"/>
          <w:sz w:val="22"/>
        </w:rPr>
        <w:t xml:space="preserve"> </w:t>
      </w:r>
      <w:r w:rsidRPr="00F761B3">
        <w:rPr>
          <w:rFonts w:ascii="SassoonCRInfant" w:hAnsi="SassoonCRInfant"/>
          <w:color w:val="292526"/>
          <w:sz w:val="22"/>
        </w:rPr>
        <w:t>Curriculum</w:t>
      </w:r>
      <w:r w:rsidRPr="00F761B3">
        <w:rPr>
          <w:rFonts w:ascii="SassoonCRInfant" w:hAnsi="SassoonCRInfant"/>
          <w:color w:val="292526"/>
          <w:spacing w:val="-6"/>
          <w:sz w:val="22"/>
        </w:rPr>
        <w:t xml:space="preserve"> </w:t>
      </w:r>
      <w:r w:rsidRPr="00F761B3">
        <w:rPr>
          <w:rFonts w:ascii="SassoonCRInfant" w:hAnsi="SassoonCRInfant"/>
          <w:color w:val="292526"/>
          <w:sz w:val="22"/>
        </w:rPr>
        <w:t>for</w:t>
      </w:r>
      <w:r w:rsidRPr="00F761B3">
        <w:rPr>
          <w:rFonts w:ascii="SassoonCRInfant" w:hAnsi="SassoonCRInfant"/>
          <w:color w:val="292526"/>
          <w:spacing w:val="-5"/>
          <w:sz w:val="22"/>
        </w:rPr>
        <w:t xml:space="preserve"> </w:t>
      </w:r>
      <w:r w:rsidRPr="00F761B3">
        <w:rPr>
          <w:rFonts w:ascii="SassoonCRInfant" w:hAnsi="SassoonCRInfant"/>
          <w:color w:val="292526"/>
          <w:sz w:val="22"/>
        </w:rPr>
        <w:t>Writing</w:t>
      </w:r>
      <w:r w:rsidRPr="00F761B3">
        <w:rPr>
          <w:rFonts w:ascii="SassoonCRInfant" w:hAnsi="SassoonCRInfant"/>
          <w:color w:val="292526"/>
          <w:spacing w:val="-5"/>
          <w:sz w:val="22"/>
        </w:rPr>
        <w:t xml:space="preserve"> </w:t>
      </w:r>
      <w:r w:rsidRPr="00F761B3">
        <w:rPr>
          <w:rFonts w:ascii="SassoonCRInfant" w:hAnsi="SassoonCRInfant"/>
          <w:color w:val="292526"/>
          <w:sz w:val="22"/>
        </w:rPr>
        <w:t>and</w:t>
      </w:r>
      <w:r w:rsidRPr="00F761B3">
        <w:rPr>
          <w:rFonts w:ascii="SassoonCRInfant" w:hAnsi="SassoonCRInfant"/>
          <w:color w:val="292526"/>
          <w:spacing w:val="-6"/>
          <w:sz w:val="22"/>
        </w:rPr>
        <w:t xml:space="preserve"> </w:t>
      </w:r>
      <w:r w:rsidRPr="00F761B3">
        <w:rPr>
          <w:rFonts w:ascii="SassoonCRInfant" w:hAnsi="SassoonCRInfant"/>
          <w:color w:val="292526"/>
          <w:sz w:val="22"/>
        </w:rPr>
        <w:t>also</w:t>
      </w:r>
      <w:r w:rsidRPr="00F761B3">
        <w:rPr>
          <w:rFonts w:ascii="SassoonCRInfant" w:hAnsi="SassoonCRInfant"/>
          <w:color w:val="292526"/>
          <w:spacing w:val="-5"/>
          <w:sz w:val="22"/>
        </w:rPr>
        <w:t xml:space="preserve"> </w:t>
      </w:r>
      <w:r w:rsidRPr="00F761B3">
        <w:rPr>
          <w:rFonts w:ascii="SassoonCRInfant" w:hAnsi="SassoonCRInfant"/>
          <w:color w:val="292526"/>
          <w:sz w:val="22"/>
        </w:rPr>
        <w:t>include</w:t>
      </w:r>
      <w:r w:rsidRPr="00F761B3">
        <w:rPr>
          <w:rFonts w:ascii="SassoonCRInfant" w:hAnsi="SassoonCRInfant"/>
          <w:color w:val="292526"/>
          <w:spacing w:val="-5"/>
          <w:sz w:val="22"/>
        </w:rPr>
        <w:t xml:space="preserve"> </w:t>
      </w:r>
      <w:r w:rsidRPr="00F761B3">
        <w:rPr>
          <w:rFonts w:ascii="SassoonCRInfant" w:hAnsi="SassoonCRInfant"/>
          <w:color w:val="292526"/>
          <w:sz w:val="22"/>
        </w:rPr>
        <w:t>reference</w:t>
      </w:r>
      <w:r w:rsidRPr="00F761B3">
        <w:rPr>
          <w:rFonts w:ascii="SassoonCRInfant" w:hAnsi="SassoonCRInfant"/>
          <w:color w:val="292526"/>
          <w:spacing w:val="-6"/>
          <w:sz w:val="22"/>
        </w:rPr>
        <w:t xml:space="preserve"> </w:t>
      </w:r>
      <w:r w:rsidRPr="00F761B3">
        <w:rPr>
          <w:rFonts w:ascii="SassoonCRInfant" w:hAnsi="SassoonCRInfant"/>
          <w:color w:val="292526"/>
          <w:sz w:val="22"/>
        </w:rPr>
        <w:t>to</w:t>
      </w:r>
      <w:r w:rsidRPr="00F761B3">
        <w:rPr>
          <w:rFonts w:ascii="SassoonCRInfant" w:hAnsi="SassoonCRInfant"/>
          <w:color w:val="292526"/>
          <w:spacing w:val="-5"/>
          <w:sz w:val="22"/>
        </w:rPr>
        <w:t xml:space="preserve"> </w:t>
      </w:r>
      <w:r w:rsidRPr="00F761B3">
        <w:rPr>
          <w:rFonts w:ascii="SassoonCRInfant" w:hAnsi="SassoonCRInfant"/>
          <w:color w:val="292526"/>
          <w:sz w:val="22"/>
        </w:rPr>
        <w:t xml:space="preserve">the guidance set out in English Appendixes </w:t>
      </w:r>
      <w:r w:rsidRPr="00F761B3">
        <w:rPr>
          <w:rFonts w:ascii="SassoonCRInfant" w:hAnsi="SassoonCRInfant"/>
          <w:color w:val="292526"/>
          <w:w w:val="125"/>
          <w:sz w:val="22"/>
        </w:rPr>
        <w:t xml:space="preserve">1 </w:t>
      </w:r>
      <w:r w:rsidRPr="00F761B3">
        <w:rPr>
          <w:rFonts w:ascii="SassoonCRInfant" w:hAnsi="SassoonCRInfant"/>
          <w:color w:val="292526"/>
          <w:sz w:val="22"/>
        </w:rPr>
        <w:t>&amp; 2. They are split</w:t>
      </w:r>
      <w:r w:rsidRPr="00F761B3">
        <w:rPr>
          <w:rFonts w:ascii="SassoonCRInfant" w:hAnsi="SassoonCRInfant"/>
          <w:color w:val="292526"/>
          <w:spacing w:val="-17"/>
          <w:sz w:val="22"/>
        </w:rPr>
        <w:t xml:space="preserve"> </w:t>
      </w:r>
      <w:r w:rsidRPr="00F761B3">
        <w:rPr>
          <w:rFonts w:ascii="SassoonCRInfant" w:hAnsi="SassoonCRInfant"/>
          <w:color w:val="292526"/>
          <w:sz w:val="22"/>
        </w:rPr>
        <w:t>into:</w:t>
      </w:r>
    </w:p>
    <w:p w:rsidR="00122172" w:rsidRPr="00F761B3" w:rsidRDefault="008050C2" w:rsidP="00451F7D">
      <w:pPr>
        <w:pStyle w:val="ListParagraph"/>
        <w:numPr>
          <w:ilvl w:val="0"/>
          <w:numId w:val="1"/>
        </w:numPr>
        <w:tabs>
          <w:tab w:val="left" w:pos="546"/>
          <w:tab w:val="left" w:pos="547"/>
        </w:tabs>
        <w:spacing w:before="170"/>
        <w:ind w:left="851" w:hanging="284"/>
        <w:rPr>
          <w:rFonts w:ascii="SassoonCRInfant" w:hAnsi="SassoonCRInfant"/>
        </w:rPr>
      </w:pPr>
      <w:r w:rsidRPr="00F761B3">
        <w:rPr>
          <w:rFonts w:ascii="SassoonCRInfant" w:hAnsi="SassoonCRInfant"/>
          <w:color w:val="292526"/>
        </w:rPr>
        <w:t xml:space="preserve">Working </w:t>
      </w:r>
      <w:r w:rsidRPr="00F761B3">
        <w:rPr>
          <w:rFonts w:ascii="SassoonCRInfant" w:hAnsi="SassoonCRInfant"/>
          <w:color w:val="292526"/>
          <w:spacing w:val="-4"/>
        </w:rPr>
        <w:t xml:space="preserve">Towards </w:t>
      </w:r>
      <w:r w:rsidRPr="00F761B3">
        <w:rPr>
          <w:rFonts w:ascii="SassoonCRInfant" w:hAnsi="SassoonCRInfant"/>
          <w:color w:val="292526"/>
        </w:rPr>
        <w:t>the Expected</w:t>
      </w:r>
      <w:r w:rsidRPr="00F761B3">
        <w:rPr>
          <w:rFonts w:ascii="SassoonCRInfant" w:hAnsi="SassoonCRInfant"/>
          <w:color w:val="292526"/>
          <w:spacing w:val="3"/>
        </w:rPr>
        <w:t xml:space="preserve"> </w:t>
      </w:r>
      <w:r w:rsidRPr="00F761B3">
        <w:rPr>
          <w:rFonts w:ascii="SassoonCRInfant" w:hAnsi="SassoonCRInfant"/>
          <w:color w:val="292526"/>
        </w:rPr>
        <w:t>Standard</w:t>
      </w:r>
    </w:p>
    <w:p w:rsidR="00122172" w:rsidRPr="00F761B3" w:rsidRDefault="008050C2" w:rsidP="00451F7D">
      <w:pPr>
        <w:pStyle w:val="ListParagraph"/>
        <w:numPr>
          <w:ilvl w:val="0"/>
          <w:numId w:val="1"/>
        </w:numPr>
        <w:tabs>
          <w:tab w:val="left" w:pos="546"/>
          <w:tab w:val="left" w:pos="547"/>
        </w:tabs>
        <w:ind w:left="851" w:hanging="284"/>
        <w:rPr>
          <w:rFonts w:ascii="SassoonCRInfant" w:hAnsi="SassoonCRInfant"/>
        </w:rPr>
      </w:pPr>
      <w:r w:rsidRPr="00F761B3">
        <w:rPr>
          <w:rFonts w:ascii="SassoonCRInfant" w:hAnsi="SassoonCRInfant"/>
          <w:color w:val="292526"/>
        </w:rPr>
        <w:t>Working at the Expected</w:t>
      </w:r>
      <w:r w:rsidRPr="00F761B3">
        <w:rPr>
          <w:rFonts w:ascii="SassoonCRInfant" w:hAnsi="SassoonCRInfant"/>
          <w:color w:val="292526"/>
          <w:spacing w:val="-1"/>
        </w:rPr>
        <w:t xml:space="preserve"> </w:t>
      </w:r>
      <w:r w:rsidRPr="00F761B3">
        <w:rPr>
          <w:rFonts w:ascii="SassoonCRInfant" w:hAnsi="SassoonCRInfant"/>
          <w:color w:val="292526"/>
        </w:rPr>
        <w:t>Standard</w:t>
      </w:r>
    </w:p>
    <w:p w:rsidR="00122172" w:rsidRPr="00F761B3" w:rsidRDefault="008050C2" w:rsidP="00451F7D">
      <w:pPr>
        <w:pStyle w:val="ListParagraph"/>
        <w:numPr>
          <w:ilvl w:val="0"/>
          <w:numId w:val="1"/>
        </w:numPr>
        <w:tabs>
          <w:tab w:val="left" w:pos="546"/>
          <w:tab w:val="left" w:pos="547"/>
        </w:tabs>
        <w:ind w:left="851" w:hanging="284"/>
        <w:rPr>
          <w:rFonts w:ascii="SassoonCRInfant" w:hAnsi="SassoonCRInfant"/>
        </w:rPr>
      </w:pPr>
      <w:r w:rsidRPr="00F761B3">
        <w:rPr>
          <w:rFonts w:ascii="SassoonCRInfant" w:hAnsi="SassoonCRInfant"/>
          <w:color w:val="292526"/>
        </w:rPr>
        <w:t>Working at Greater Depth Within the Expected</w:t>
      </w:r>
      <w:r w:rsidRPr="00F761B3">
        <w:rPr>
          <w:rFonts w:ascii="SassoonCRInfant" w:hAnsi="SassoonCRInfant"/>
          <w:color w:val="292526"/>
          <w:spacing w:val="-2"/>
        </w:rPr>
        <w:t xml:space="preserve"> </w:t>
      </w:r>
      <w:r w:rsidRPr="00F761B3">
        <w:rPr>
          <w:rFonts w:ascii="SassoonCRInfant" w:hAnsi="SassoonCRInfant"/>
          <w:color w:val="292526"/>
        </w:rPr>
        <w:t>Standard</w:t>
      </w:r>
    </w:p>
    <w:p w:rsidR="00F761B3" w:rsidRPr="003A659D" w:rsidRDefault="00F761B3" w:rsidP="00F761B3">
      <w:pPr>
        <w:pStyle w:val="BodyText"/>
        <w:numPr>
          <w:ilvl w:val="0"/>
          <w:numId w:val="1"/>
        </w:numPr>
        <w:spacing w:before="177" w:line="244" w:lineRule="auto"/>
        <w:ind w:right="277"/>
        <w:rPr>
          <w:rFonts w:ascii="SassoonCRInfant" w:hAnsi="SassoonCRInfant"/>
          <w:sz w:val="22"/>
          <w:szCs w:val="22"/>
        </w:rPr>
      </w:pPr>
      <w:r w:rsidRPr="003A659D">
        <w:rPr>
          <w:rFonts w:ascii="SassoonCRInfant" w:hAnsi="SassoonCRInfant"/>
          <w:color w:val="292526"/>
          <w:sz w:val="22"/>
          <w:szCs w:val="22"/>
        </w:rPr>
        <w:t xml:space="preserve">All of the statements </w:t>
      </w:r>
      <w:r w:rsidRPr="003A659D">
        <w:rPr>
          <w:rFonts w:ascii="SassoonCRInfant" w:hAnsi="SassoonCRInfant"/>
          <w:color w:val="292526"/>
          <w:spacing w:val="-3"/>
          <w:sz w:val="22"/>
          <w:szCs w:val="22"/>
        </w:rPr>
        <w:t xml:space="preserve">are </w:t>
      </w:r>
      <w:r w:rsidRPr="003A659D">
        <w:rPr>
          <w:rFonts w:ascii="SassoonCRInfant" w:hAnsi="SassoonCRInfant"/>
          <w:color w:val="292526"/>
          <w:sz w:val="22"/>
          <w:szCs w:val="22"/>
        </w:rPr>
        <w:t xml:space="preserve">progressive within and across the year groups, and work on the expectation that the majority of pupils will be working on their own year group’s aims. The criteria for Working Towards the Expected Standard in </w:t>
      </w:r>
      <w:proofErr w:type="gramStart"/>
      <w:r w:rsidRPr="003A659D">
        <w:rPr>
          <w:rFonts w:ascii="SassoonCRInfant" w:hAnsi="SassoonCRInfant"/>
          <w:color w:val="292526"/>
          <w:sz w:val="22"/>
          <w:szCs w:val="22"/>
        </w:rPr>
        <w:t>one year</w:t>
      </w:r>
      <w:proofErr w:type="gramEnd"/>
      <w:r w:rsidRPr="003A659D">
        <w:rPr>
          <w:rFonts w:ascii="SassoonCRInfant" w:hAnsi="SassoonCRInfant"/>
          <w:color w:val="292526"/>
          <w:sz w:val="22"/>
          <w:szCs w:val="22"/>
        </w:rPr>
        <w:t xml:space="preserve"> group is not the same as the criteria </w:t>
      </w:r>
      <w:r w:rsidRPr="003A659D">
        <w:rPr>
          <w:rFonts w:ascii="SassoonCRInfant" w:hAnsi="SassoonCRInfant"/>
          <w:color w:val="292526"/>
          <w:spacing w:val="-3"/>
          <w:sz w:val="22"/>
          <w:szCs w:val="22"/>
        </w:rPr>
        <w:t xml:space="preserve">for </w:t>
      </w:r>
      <w:r w:rsidRPr="003A659D">
        <w:rPr>
          <w:rFonts w:ascii="SassoonCRInfant" w:hAnsi="SassoonCRInfant"/>
          <w:color w:val="292526"/>
          <w:sz w:val="22"/>
          <w:szCs w:val="22"/>
        </w:rPr>
        <w:t xml:space="preserve">Working at Greater Depth in the previous year group. The criteria </w:t>
      </w:r>
      <w:r w:rsidRPr="003A659D">
        <w:rPr>
          <w:rFonts w:ascii="SassoonCRInfant" w:hAnsi="SassoonCRInfant"/>
          <w:color w:val="292526"/>
          <w:spacing w:val="-3"/>
          <w:sz w:val="22"/>
          <w:szCs w:val="22"/>
        </w:rPr>
        <w:t xml:space="preserve">for </w:t>
      </w:r>
      <w:r w:rsidRPr="003A659D">
        <w:rPr>
          <w:rFonts w:ascii="SassoonCRInfant" w:hAnsi="SassoonCRInfant"/>
          <w:color w:val="292526"/>
          <w:sz w:val="22"/>
          <w:szCs w:val="22"/>
        </w:rPr>
        <w:t>Working Towards and Working at Greater Depth in any year group is related to that year group’s National Curriculum</w:t>
      </w:r>
      <w:r w:rsidRPr="003A659D">
        <w:rPr>
          <w:rFonts w:ascii="SassoonCRInfant" w:hAnsi="SassoonCRInfant"/>
          <w:color w:val="292526"/>
          <w:spacing w:val="17"/>
          <w:sz w:val="22"/>
          <w:szCs w:val="22"/>
        </w:rPr>
        <w:t xml:space="preserve"> </w:t>
      </w:r>
      <w:r w:rsidRPr="003A659D">
        <w:rPr>
          <w:rFonts w:ascii="SassoonCRInfant" w:hAnsi="SassoonCRInfant"/>
          <w:color w:val="292526"/>
          <w:sz w:val="22"/>
          <w:szCs w:val="22"/>
        </w:rPr>
        <w:t>expectations.</w:t>
      </w:r>
    </w:p>
    <w:p w:rsidR="00F761B3" w:rsidRPr="003A659D" w:rsidRDefault="00F761B3" w:rsidP="00F761B3">
      <w:pPr>
        <w:pStyle w:val="BodyText"/>
        <w:numPr>
          <w:ilvl w:val="0"/>
          <w:numId w:val="1"/>
        </w:numPr>
        <w:spacing w:before="177" w:line="244" w:lineRule="auto"/>
        <w:ind w:right="363"/>
        <w:jc w:val="both"/>
        <w:rPr>
          <w:rFonts w:ascii="SassoonCRInfant" w:hAnsi="SassoonCRInfant"/>
          <w:sz w:val="22"/>
          <w:szCs w:val="22"/>
        </w:rPr>
      </w:pPr>
      <w:r w:rsidRPr="003A659D">
        <w:rPr>
          <w:rFonts w:ascii="SassoonCRInfant" w:hAnsi="SassoonCRInfant"/>
          <w:color w:val="292526"/>
          <w:sz w:val="22"/>
          <w:szCs w:val="22"/>
        </w:rPr>
        <w:t>You may feel the need to revisit expectations from earlier years to consolidate knowledge and build on pupils’ understanding, or go beyond the aims set out here if they feel it is appropriate for your</w:t>
      </w:r>
      <w:r w:rsidRPr="003A659D">
        <w:rPr>
          <w:rFonts w:ascii="SassoonCRInfant" w:hAnsi="SassoonCRInfant"/>
          <w:sz w:val="22"/>
          <w:szCs w:val="22"/>
        </w:rPr>
        <w:t xml:space="preserve"> </w:t>
      </w:r>
      <w:r w:rsidRPr="003A659D">
        <w:rPr>
          <w:rFonts w:ascii="SassoonCRInfant" w:hAnsi="SassoonCRInfant"/>
          <w:color w:val="292526"/>
          <w:sz w:val="22"/>
          <w:szCs w:val="22"/>
        </w:rPr>
        <w:t>highest-attaining students.</w:t>
      </w:r>
    </w:p>
    <w:p w:rsidR="00F761B3" w:rsidRPr="003A659D" w:rsidRDefault="00F761B3" w:rsidP="00F761B3">
      <w:pPr>
        <w:pStyle w:val="BodyText"/>
        <w:numPr>
          <w:ilvl w:val="0"/>
          <w:numId w:val="1"/>
        </w:numPr>
        <w:spacing w:before="177" w:line="244" w:lineRule="auto"/>
        <w:ind w:right="363"/>
        <w:jc w:val="both"/>
        <w:rPr>
          <w:rFonts w:ascii="SassoonCRInfant" w:hAnsi="SassoonCRInfant"/>
          <w:sz w:val="22"/>
          <w:szCs w:val="22"/>
        </w:rPr>
      </w:pPr>
      <w:r w:rsidRPr="003A659D">
        <w:rPr>
          <w:rFonts w:ascii="SassoonCRInfant" w:hAnsi="SassoonCRInfant"/>
          <w:color w:val="292526"/>
          <w:sz w:val="22"/>
          <w:szCs w:val="22"/>
        </w:rPr>
        <w:t>The grids can be used to track the attainment of individual pupils or alternatively, could be used to highlight the progress of groups of students who are focusing on the same development areas or writing targets.</w:t>
      </w:r>
    </w:p>
    <w:p w:rsidR="00F761B3" w:rsidRPr="003A659D" w:rsidRDefault="00F761B3" w:rsidP="00F761B3">
      <w:pPr>
        <w:pStyle w:val="BodyText"/>
        <w:spacing w:before="173" w:line="244" w:lineRule="auto"/>
        <w:ind w:left="546" w:right="92"/>
        <w:rPr>
          <w:rFonts w:ascii="SassoonCRInfant" w:hAnsi="SassoonCRInfant"/>
          <w:sz w:val="22"/>
          <w:szCs w:val="22"/>
        </w:rPr>
      </w:pPr>
      <w:r w:rsidRPr="003A659D">
        <w:rPr>
          <w:rFonts w:ascii="SassoonCRInfant" w:hAnsi="SassoonCRInfant"/>
          <w:color w:val="292526"/>
          <w:sz w:val="22"/>
          <w:szCs w:val="22"/>
        </w:rPr>
        <w:t xml:space="preserve">They allow you to make ‘best fit’ judgements by ticking and dating relevant criteria as a child/group progresses throughout a term or school year. It is important that </w:t>
      </w:r>
      <w:proofErr w:type="gramStart"/>
      <w:r w:rsidRPr="003A659D">
        <w:rPr>
          <w:rFonts w:ascii="SassoonCRInfant" w:hAnsi="SassoonCRInfant"/>
          <w:color w:val="292526"/>
          <w:sz w:val="22"/>
          <w:szCs w:val="22"/>
        </w:rPr>
        <w:t xml:space="preserve">the </w:t>
      </w:r>
      <w:r>
        <w:rPr>
          <w:rFonts w:ascii="SassoonCRInfant" w:hAnsi="SassoonCRInfant"/>
          <w:color w:val="292526"/>
          <w:sz w:val="22"/>
          <w:szCs w:val="22"/>
        </w:rPr>
        <w:t xml:space="preserve"> </w:t>
      </w:r>
      <w:r w:rsidRPr="003A659D">
        <w:rPr>
          <w:rFonts w:ascii="SassoonCRInfant" w:hAnsi="SassoonCRInfant"/>
          <w:color w:val="292526"/>
          <w:sz w:val="22"/>
          <w:szCs w:val="22"/>
        </w:rPr>
        <w:t>statements</w:t>
      </w:r>
      <w:proofErr w:type="gramEnd"/>
      <w:r w:rsidRPr="003A659D">
        <w:rPr>
          <w:rFonts w:ascii="SassoonCRInfant" w:hAnsi="SassoonCRInfant"/>
          <w:color w:val="292526"/>
          <w:sz w:val="22"/>
          <w:szCs w:val="22"/>
        </w:rPr>
        <w:t xml:space="preserve"> are only ticked off when they are being seen regularly (</w:t>
      </w:r>
      <w:r w:rsidRPr="003A659D">
        <w:rPr>
          <w:rFonts w:ascii="SassoonCRInfant" w:hAnsi="SassoonCRInfant"/>
          <w:b/>
          <w:bCs/>
          <w:color w:val="292526"/>
          <w:sz w:val="22"/>
          <w:szCs w:val="22"/>
        </w:rPr>
        <w:t>fully embedded</w:t>
      </w:r>
      <w:r w:rsidRPr="003A659D">
        <w:rPr>
          <w:rFonts w:ascii="SassoonCRInfant" w:hAnsi="SassoonCRInfant"/>
          <w:color w:val="292526"/>
          <w:sz w:val="22"/>
          <w:szCs w:val="22"/>
        </w:rPr>
        <w:t>) and that the work is independent.</w:t>
      </w:r>
    </w:p>
    <w:p w:rsidR="00F761B3" w:rsidRPr="003A659D" w:rsidRDefault="00F761B3" w:rsidP="00F761B3">
      <w:pPr>
        <w:pStyle w:val="BodyText"/>
        <w:spacing w:before="174" w:line="244" w:lineRule="auto"/>
        <w:ind w:right="664" w:firstLine="546"/>
        <w:jc w:val="both"/>
        <w:rPr>
          <w:rFonts w:ascii="SassoonCRInfant" w:hAnsi="SassoonCRInfant"/>
          <w:sz w:val="22"/>
          <w:szCs w:val="22"/>
        </w:rPr>
      </w:pPr>
      <w:r>
        <w:rPr>
          <w:rFonts w:ascii="SassoonCRInfant" w:hAnsi="SassoonCRInfant"/>
          <w:noProof/>
          <w:color w:val="292526"/>
          <w:sz w:val="22"/>
          <w:szCs w:val="22"/>
        </w:rPr>
        <w:pict>
          <v:shapetype id="_x0000_t202" coordsize="21600,21600" o:spt="202" path="m,l,21600r21600,l21600,xe">
            <v:stroke joinstyle="miter"/>
            <v:path gradientshapeok="t" o:connecttype="rect"/>
          </v:shapetype>
          <v:shape id="_x0000_s1028" type="#_x0000_t202" style="position:absolute;left:0;text-align:left;margin-left:-3pt;margin-top:717.7pt;width:808pt;height:118.65pt;z-index:251660288" stroked="f">
            <v:textbox>
              <w:txbxContent>
                <w:p w:rsidR="00F761B3" w:rsidRDefault="00F761B3">
                  <w:bookmarkStart w:id="0" w:name="_GoBack"/>
                  <w:bookmarkEnd w:id="0"/>
                </w:p>
              </w:txbxContent>
            </v:textbox>
          </v:shape>
        </w:pict>
      </w:r>
      <w:r w:rsidRPr="003A659D">
        <w:rPr>
          <w:rFonts w:ascii="SassoonCRInfant" w:hAnsi="SassoonCRInfant"/>
          <w:color w:val="292526"/>
          <w:sz w:val="22"/>
          <w:szCs w:val="22"/>
        </w:rPr>
        <w:t xml:space="preserve">The statements with the checklists are set out in colour-coded boxes: </w:t>
      </w:r>
      <w:r w:rsidRPr="003A659D">
        <w:rPr>
          <w:rFonts w:ascii="SassoonCRInfant" w:hAnsi="SassoonCRInfant"/>
          <w:b/>
          <w:bCs/>
          <w:color w:val="00CCFF"/>
          <w:sz w:val="22"/>
          <w:szCs w:val="22"/>
        </w:rPr>
        <w:t>blue</w:t>
      </w:r>
      <w:r w:rsidRPr="003A659D">
        <w:rPr>
          <w:rFonts w:ascii="SassoonCRInfant" w:hAnsi="SassoonCRInfant"/>
          <w:color w:val="292526"/>
          <w:sz w:val="22"/>
          <w:szCs w:val="22"/>
        </w:rPr>
        <w:t xml:space="preserve"> for composition; </w:t>
      </w:r>
      <w:r w:rsidRPr="003A659D">
        <w:rPr>
          <w:rFonts w:ascii="SassoonCRInfant" w:hAnsi="SassoonCRInfant"/>
          <w:b/>
          <w:bCs/>
          <w:color w:val="00FF00"/>
          <w:sz w:val="22"/>
          <w:szCs w:val="22"/>
        </w:rPr>
        <w:t>green</w:t>
      </w:r>
      <w:r w:rsidRPr="003A659D">
        <w:rPr>
          <w:rFonts w:ascii="SassoonCRInfant" w:hAnsi="SassoonCRInfant"/>
          <w:color w:val="292526"/>
          <w:sz w:val="22"/>
          <w:szCs w:val="22"/>
        </w:rPr>
        <w:t xml:space="preserve"> for grammar and punctuation and </w:t>
      </w:r>
      <w:r w:rsidRPr="003A659D">
        <w:rPr>
          <w:rFonts w:ascii="SassoonCRInfant" w:hAnsi="SassoonCRInfant"/>
          <w:b/>
          <w:bCs/>
          <w:color w:val="FF00FF"/>
          <w:sz w:val="22"/>
          <w:szCs w:val="22"/>
        </w:rPr>
        <w:t>pink</w:t>
      </w:r>
      <w:r w:rsidRPr="003A659D">
        <w:rPr>
          <w:rFonts w:ascii="SassoonCRInfant" w:hAnsi="SassoonCRInfant"/>
          <w:color w:val="292526"/>
          <w:sz w:val="22"/>
          <w:szCs w:val="22"/>
        </w:rPr>
        <w:t xml:space="preserve"> for transcription.</w:t>
      </w:r>
    </w:p>
    <w:p w:rsidR="00122172" w:rsidRDefault="00122172">
      <w:pPr>
        <w:spacing w:line="300" w:lineRule="auto"/>
        <w:jc w:val="both"/>
        <w:sectPr w:rsidR="00122172">
          <w:footerReference w:type="default" r:id="rId7"/>
          <w:type w:val="continuous"/>
          <w:pgSz w:w="16840" w:h="23820"/>
          <w:pgMar w:top="400" w:right="360" w:bottom="1040" w:left="380" w:header="720" w:footer="848" w:gutter="0"/>
          <w:cols w:space="720"/>
        </w:sectPr>
      </w:pPr>
    </w:p>
    <w:p w:rsidR="008050C2" w:rsidRPr="00F761B3" w:rsidRDefault="00F761B3">
      <w:pPr>
        <w:rPr>
          <w:rFonts w:ascii="SassoonCRInfant" w:hAnsi="SassoonCRInfant"/>
        </w:rPr>
      </w:pPr>
      <w:r>
        <w:rPr>
          <w:noProof/>
        </w:rPr>
        <w:lastRenderedPageBreak/>
        <w:pict>
          <v:shape id="_x0000_s1029" type="#_x0000_t202" style="position:absolute;margin-left:-9.65pt;margin-top:1094.3pt;width:814.65pt;height:62.05pt;z-index:251661312" stroked="f">
            <v:textbox>
              <w:txbxContent>
                <w:p w:rsidR="00F761B3" w:rsidRDefault="00F761B3"/>
              </w:txbxContent>
            </v:textbox>
          </v:shape>
        </w:pict>
      </w:r>
      <w:r>
        <w:rPr>
          <w:noProof/>
        </w:rPr>
        <w:pict>
          <v:shape id="_x0000_s1027" type="#_x0000_t202" style="position:absolute;margin-left:0;margin-top:0;width:2in;height:2in;z-index:251659264;mso-wrap-style:none;mso-position-horizontal-relative:text;mso-position-vertical-relative:text" strokecolor="lime">
            <v:textbox style="mso-fit-shape-to-text:t">
              <w:txbxContent>
                <w:tbl>
                  <w:tblPr>
                    <w:tblW w:w="0" w:type="auto"/>
                    <w:tblInd w:w="17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01"/>
                    <w:gridCol w:w="13687"/>
                    <w:gridCol w:w="324"/>
                    <w:gridCol w:w="324"/>
                    <w:gridCol w:w="324"/>
                    <w:gridCol w:w="324"/>
                    <w:gridCol w:w="324"/>
                  </w:tblGrid>
                  <w:tr w:rsidR="00F761B3" w:rsidRPr="00F761B3" w:rsidTr="00F761B3">
                    <w:trPr>
                      <w:trHeight w:val="340"/>
                    </w:trPr>
                    <w:tc>
                      <w:tcPr>
                        <w:tcW w:w="501" w:type="dxa"/>
                        <w:vMerge w:val="restart"/>
                        <w:textDirection w:val="btLr"/>
                      </w:tcPr>
                      <w:p w:rsidR="00F761B3" w:rsidRPr="00F761B3" w:rsidRDefault="00F761B3">
                        <w:pPr>
                          <w:pStyle w:val="TableParagraph"/>
                          <w:spacing w:before="85"/>
                          <w:ind w:left="367"/>
                          <w:rPr>
                            <w:rFonts w:ascii="SassoonCRInfant" w:hAnsi="SassoonCRInfant"/>
                            <w:b/>
                            <w:sz w:val="20"/>
                          </w:rPr>
                        </w:pPr>
                        <w:r w:rsidRPr="00F761B3">
                          <w:rPr>
                            <w:rFonts w:ascii="SassoonCRInfant" w:hAnsi="SassoonCRInfant"/>
                            <w:b/>
                            <w:color w:val="292526"/>
                            <w:sz w:val="20"/>
                          </w:rPr>
                          <w:t>Pupil(s) are beginning to meet the following aims with support:</w:t>
                        </w:r>
                      </w:p>
                    </w:tc>
                    <w:tc>
                      <w:tcPr>
                        <w:tcW w:w="13687" w:type="dxa"/>
                        <w:shd w:val="clear" w:color="auto" w:fill="00CC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use a consistent and appropriate structure in non-fiction texts (including genre-specific layout devices).</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687" w:type="dxa"/>
                        <w:shd w:val="clear" w:color="auto" w:fill="00CC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write narratives with a clear beginning, middle and end with a clear plot.</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687" w:type="dxa"/>
                        <w:shd w:val="clear" w:color="auto" w:fill="00CC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proofread and amend their own and others’ writing with growing confidence.</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687" w:type="dxa"/>
                        <w:shd w:val="clear" w:color="auto" w:fill="00CC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create more detailed settings, characters and plot in narratives.</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687" w:type="dxa"/>
                        <w:shd w:val="clear" w:color="auto" w:fill="00CC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organise their writing into paragraphs around a theme.</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687" w:type="dxa"/>
                        <w:shd w:val="clear" w:color="auto" w:fill="00FF00"/>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maintain accurate tense throughout a piece of writing.</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687" w:type="dxa"/>
                        <w:shd w:val="clear" w:color="auto" w:fill="00FF00"/>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 xml:space="preserve">To use Standard English verb inflections mostly accurately, e.g. ‘we were’ rather than ‘we </w:t>
                        </w:r>
                        <w:proofErr w:type="gramStart"/>
                        <w:r w:rsidRPr="00F761B3">
                          <w:rPr>
                            <w:rFonts w:ascii="SassoonCRInfant" w:hAnsi="SassoonCRInfant"/>
                            <w:color w:val="292526"/>
                            <w:sz w:val="20"/>
                          </w:rPr>
                          <w:t>was</w:t>
                        </w:r>
                        <w:proofErr w:type="gramEnd"/>
                        <w:r w:rsidRPr="00F761B3">
                          <w:rPr>
                            <w:rFonts w:ascii="SassoonCRInfant" w:hAnsi="SassoonCRInfant"/>
                            <w:color w:val="292526"/>
                            <w:sz w:val="20"/>
                          </w:rPr>
                          <w:t>’, ‘I did’ rather than ‘I done’.</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687" w:type="dxa"/>
                        <w:shd w:val="clear" w:color="auto" w:fill="00FF00"/>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use the full range of punctuation from previous year groups.</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687" w:type="dxa"/>
                        <w:shd w:val="clear" w:color="auto" w:fill="00FF00"/>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use inverted commas at the beginning and end of direct speech.</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687" w:type="dxa"/>
                        <w:shd w:val="clear" w:color="auto" w:fill="00FF00"/>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use apostrophes for singular possession confidently and begin to use apostrophes for plural possession.</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687" w:type="dxa"/>
                        <w:shd w:val="clear" w:color="auto" w:fill="00FF00"/>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begin to expand some noun phrases with the addition of modifying adjectives and prepositional phrases, e.g. the strict teacher with curly hair.</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404"/>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687" w:type="dxa"/>
                        <w:shd w:val="clear" w:color="auto" w:fill="00FF00"/>
                      </w:tcPr>
                      <w:p w:rsidR="00F761B3" w:rsidRPr="00F761B3" w:rsidRDefault="00F761B3">
                        <w:pPr>
                          <w:pStyle w:val="TableParagraph"/>
                          <w:spacing w:before="107"/>
                          <w:ind w:left="84"/>
                          <w:rPr>
                            <w:rFonts w:ascii="SassoonCRInfant" w:hAnsi="SassoonCRInfant"/>
                            <w:sz w:val="20"/>
                          </w:rPr>
                        </w:pPr>
                        <w:r w:rsidRPr="00F761B3">
                          <w:rPr>
                            <w:rFonts w:ascii="SassoonCRInfant" w:hAnsi="SassoonCRInfant"/>
                            <w:color w:val="292526"/>
                            <w:sz w:val="20"/>
                          </w:rPr>
                          <w:t>To begin to choose some nouns or pronouns appropriately to aid cohesion and avoid repetition, e.g. he, she, they, it.</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687" w:type="dxa"/>
                        <w:shd w:val="clear" w:color="auto" w:fill="00FF00"/>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use some fronted adverbials, e.g. As quick as a flash, Last weekend; with some awareness of commas.</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687" w:type="dxa"/>
                        <w:shd w:val="clear" w:color="auto" w:fill="FF66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spell most words with prefixes correctly, e.g. irrelevant, autograph, incorrect, disobey, superstar, antisocial.</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687" w:type="dxa"/>
                        <w:shd w:val="clear" w:color="auto" w:fill="FF66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spell most words with suffixes correctly, e.g. usually, poisonous, adoration.</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687" w:type="dxa"/>
                        <w:shd w:val="clear" w:color="auto" w:fill="FF66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spell homophones correctly, e.g. which and witch.</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687" w:type="dxa"/>
                        <w:shd w:val="clear" w:color="auto" w:fill="FF66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spell many of the Year 3 and 4 statutory spelling words correctly.</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687" w:type="dxa"/>
                        <w:shd w:val="clear" w:color="auto" w:fill="FF66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use a neat, joined handwriting style consistently.</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bl>
                <w:p w:rsidR="00F761B3" w:rsidRPr="00F761B3" w:rsidRDefault="00F761B3">
                  <w:pPr>
                    <w:pStyle w:val="BodyText"/>
                    <w:spacing w:before="0"/>
                    <w:rPr>
                      <w:rFonts w:ascii="SassoonCRInfant" w:hAnsi="SassoonCRInfant"/>
                      <w:sz w:val="20"/>
                    </w:rPr>
                  </w:pPr>
                </w:p>
                <w:p w:rsidR="00F761B3" w:rsidRPr="00F761B3" w:rsidRDefault="00F761B3">
                  <w:pPr>
                    <w:pStyle w:val="BodyText"/>
                    <w:spacing w:before="10"/>
                    <w:rPr>
                      <w:rFonts w:ascii="SassoonCRInfant" w:hAnsi="SassoonCRInfant"/>
                      <w:sz w:val="11"/>
                    </w:rPr>
                  </w:pPr>
                </w:p>
                <w:tbl>
                  <w:tblPr>
                    <w:tblW w:w="0" w:type="auto"/>
                    <w:tblInd w:w="13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01"/>
                    <w:gridCol w:w="13707"/>
                    <w:gridCol w:w="324"/>
                    <w:gridCol w:w="324"/>
                    <w:gridCol w:w="324"/>
                    <w:gridCol w:w="324"/>
                    <w:gridCol w:w="324"/>
                  </w:tblGrid>
                  <w:tr w:rsidR="00F761B3" w:rsidRPr="00F761B3" w:rsidTr="00F761B3">
                    <w:trPr>
                      <w:trHeight w:val="340"/>
                    </w:trPr>
                    <w:tc>
                      <w:tcPr>
                        <w:tcW w:w="501" w:type="dxa"/>
                        <w:vMerge w:val="restart"/>
                        <w:textDirection w:val="btLr"/>
                      </w:tcPr>
                      <w:p w:rsidR="00F761B3" w:rsidRPr="00F761B3" w:rsidRDefault="00F761B3">
                        <w:pPr>
                          <w:pStyle w:val="TableParagraph"/>
                          <w:spacing w:before="85"/>
                          <w:ind w:left="522"/>
                          <w:rPr>
                            <w:rFonts w:ascii="SassoonCRInfant" w:hAnsi="SassoonCRInfant"/>
                            <w:b/>
                            <w:sz w:val="20"/>
                          </w:rPr>
                        </w:pPr>
                        <w:r w:rsidRPr="00F761B3">
                          <w:rPr>
                            <w:rFonts w:ascii="SassoonCRInfant" w:hAnsi="SassoonCRInfant"/>
                            <w:b/>
                            <w:color w:val="292526"/>
                            <w:sz w:val="20"/>
                          </w:rPr>
                          <w:t>Pupil(s) are beginning to independently apply their knowledge:</w:t>
                        </w:r>
                      </w:p>
                    </w:tc>
                    <w:tc>
                      <w:tcPr>
                        <w:tcW w:w="13707" w:type="dxa"/>
                        <w:shd w:val="clear" w:color="auto" w:fill="00CC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write a range of narratives and non-fiction pieces using a consistent and appropriate structure (including genre-specific layout devices).</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00CC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write narratives with a clear beginning, middle and end with a coherent plot.</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60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00CCFF"/>
                      </w:tcPr>
                      <w:p w:rsidR="00F761B3" w:rsidRPr="00F761B3" w:rsidRDefault="00F761B3">
                        <w:pPr>
                          <w:pStyle w:val="TableParagraph"/>
                          <w:spacing w:before="55" w:line="260" w:lineRule="atLeast"/>
                          <w:ind w:left="84" w:right="547"/>
                          <w:rPr>
                            <w:rFonts w:ascii="SassoonCRInfant" w:hAnsi="SassoonCRInfant"/>
                            <w:sz w:val="20"/>
                          </w:rPr>
                        </w:pPr>
                        <w:r w:rsidRPr="00F761B3">
                          <w:rPr>
                            <w:rFonts w:ascii="SassoonCRInfant" w:hAnsi="SassoonCRInfant"/>
                            <w:color w:val="292526"/>
                            <w:sz w:val="20"/>
                          </w:rPr>
                          <w:t>To proofread confidently and amend their own and others’ writing, e.g. adding in nouns/pronouns to avoid repetition, recognising where verbs and subjects do not agree or lapses in tense.</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00CC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create more detailed settings, characters and plot in narratives to engage the reader.</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00CC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consistently organise their writing into paragraphs around a theme.</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00FF00"/>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maintain an accurate tense throughout a piece of writing.</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00FF00"/>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 xml:space="preserve">To use Standard English verb inflections accurately, e.g. ‘we were’ rather than ‘we </w:t>
                        </w:r>
                        <w:proofErr w:type="gramStart"/>
                        <w:r w:rsidRPr="00F761B3">
                          <w:rPr>
                            <w:rFonts w:ascii="SassoonCRInfant" w:hAnsi="SassoonCRInfant"/>
                            <w:color w:val="292526"/>
                            <w:sz w:val="20"/>
                          </w:rPr>
                          <w:t>was</w:t>
                        </w:r>
                        <w:proofErr w:type="gramEnd"/>
                        <w:r w:rsidRPr="00F761B3">
                          <w:rPr>
                            <w:rFonts w:ascii="SassoonCRInfant" w:hAnsi="SassoonCRInfant"/>
                            <w:color w:val="292526"/>
                            <w:sz w:val="20"/>
                          </w:rPr>
                          <w:t>’, ‘I did’ rather than ‘I done’.</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00FF00"/>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use the full range of punctuation from previous year groups.</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00FF00"/>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use all the necessary punctuation in direct speech mostly accurately.</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00FF00"/>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use apostrophes for singular and plural possession with increasing confidence.</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00FF00"/>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expand noun phrases regularly with the addition of modifying adjectives and prepositional phrases, e.g. the strict teacher with curly hair.</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404"/>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00FF00"/>
                      </w:tcPr>
                      <w:p w:rsidR="00F761B3" w:rsidRPr="00F761B3" w:rsidRDefault="00F761B3">
                        <w:pPr>
                          <w:pStyle w:val="TableParagraph"/>
                          <w:spacing w:before="107"/>
                          <w:ind w:left="84"/>
                          <w:rPr>
                            <w:rFonts w:ascii="SassoonCRInfant" w:hAnsi="SassoonCRInfant"/>
                            <w:sz w:val="20"/>
                          </w:rPr>
                        </w:pPr>
                        <w:r w:rsidRPr="00F761B3">
                          <w:rPr>
                            <w:rFonts w:ascii="SassoonCRInfant" w:hAnsi="SassoonCRInfant"/>
                            <w:color w:val="292526"/>
                            <w:sz w:val="20"/>
                          </w:rPr>
                          <w:t>To regularly choose nouns or pronouns appropriately to aid cohesion and avoid repetition, e.g. he, she, they, it.</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00FF00"/>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use fronted adverbials, e.g. As quick as a flash, Last weekend; usually demarcated with commas.</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FF66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spell all words with prefixes correctly, e.g. irrelevant, autograph, incorrect, disobey, superstar, antisocial.</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FF66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spell all words with suffixes correctly, e.g. usually, poisonous, adoration.</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FF66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spell homophones correctly, e.g. which and witch.</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FF66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spell all of the Year 3 and 4 statutory spelling words correctly.</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FF66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consistently use a neat, joined handwriting style.</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bl>
                <w:p w:rsidR="00F761B3" w:rsidRPr="00F761B3" w:rsidRDefault="00F761B3">
                  <w:pPr>
                    <w:pStyle w:val="BodyText"/>
                    <w:spacing w:before="0"/>
                    <w:rPr>
                      <w:rFonts w:ascii="SassoonCRInfant" w:hAnsi="SassoonCRInfant"/>
                      <w:sz w:val="20"/>
                    </w:rPr>
                  </w:pPr>
                </w:p>
                <w:p w:rsidR="00F761B3" w:rsidRPr="00F761B3" w:rsidRDefault="00F761B3">
                  <w:pPr>
                    <w:pStyle w:val="BodyText"/>
                    <w:spacing w:before="2"/>
                    <w:rPr>
                      <w:rFonts w:ascii="SassoonCRInfant" w:hAnsi="SassoonCRInfant"/>
                      <w:sz w:val="11"/>
                    </w:rPr>
                  </w:pPr>
                </w:p>
                <w:tbl>
                  <w:tblPr>
                    <w:tblW w:w="0" w:type="auto"/>
                    <w:tblInd w:w="13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01"/>
                    <w:gridCol w:w="13707"/>
                    <w:gridCol w:w="324"/>
                    <w:gridCol w:w="324"/>
                    <w:gridCol w:w="324"/>
                    <w:gridCol w:w="324"/>
                    <w:gridCol w:w="324"/>
                  </w:tblGrid>
                  <w:tr w:rsidR="00F761B3" w:rsidRPr="00F761B3" w:rsidTr="00F761B3">
                    <w:trPr>
                      <w:trHeight w:val="340"/>
                    </w:trPr>
                    <w:tc>
                      <w:tcPr>
                        <w:tcW w:w="501" w:type="dxa"/>
                        <w:vMerge w:val="restart"/>
                        <w:textDirection w:val="btLr"/>
                      </w:tcPr>
                      <w:p w:rsidR="00F761B3" w:rsidRPr="00F761B3" w:rsidRDefault="00F761B3">
                        <w:pPr>
                          <w:pStyle w:val="TableParagraph"/>
                          <w:spacing w:before="85"/>
                          <w:ind w:left="752"/>
                          <w:rPr>
                            <w:rFonts w:ascii="SassoonCRInfant" w:hAnsi="SassoonCRInfant"/>
                            <w:b/>
                            <w:sz w:val="20"/>
                          </w:rPr>
                        </w:pPr>
                        <w:r w:rsidRPr="00F761B3">
                          <w:rPr>
                            <w:rFonts w:ascii="SassoonCRInfant" w:hAnsi="SassoonCRInfant"/>
                            <w:b/>
                            <w:color w:val="292526"/>
                            <w:sz w:val="20"/>
                          </w:rPr>
                          <w:t>Pupil(s) are beginning to independently apply their knowledge:</w:t>
                        </w:r>
                      </w:p>
                    </w:tc>
                    <w:tc>
                      <w:tcPr>
                        <w:tcW w:w="13707" w:type="dxa"/>
                        <w:shd w:val="clear" w:color="auto" w:fill="00CC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write a range of narratives that are well-structured and well-paced.</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00CC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write a range of non-fiction texts that are well-structured with appropriate layout devices.</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58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00CCFF"/>
                      </w:tcPr>
                      <w:p w:rsidR="00F761B3" w:rsidRPr="00F761B3" w:rsidRDefault="00F761B3">
                        <w:pPr>
                          <w:pStyle w:val="TableParagraph"/>
                          <w:spacing w:before="75"/>
                          <w:ind w:left="84" w:right="27"/>
                          <w:rPr>
                            <w:rFonts w:ascii="SassoonCRInfant" w:hAnsi="SassoonCRInfant"/>
                            <w:sz w:val="20"/>
                          </w:rPr>
                        </w:pPr>
                        <w:r w:rsidRPr="00F761B3">
                          <w:rPr>
                            <w:rFonts w:ascii="SassoonCRInfant" w:hAnsi="SassoonCRInfant"/>
                            <w:color w:val="292526"/>
                            <w:sz w:val="20"/>
                          </w:rPr>
                          <w:t>To proofread consistently and amend their own and others’ writing, correcting errors in grammar, punctuation and spelling and adding nouns/pronouns for cohesion.</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00CC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create detailed settings, characters and plot in narratives to engage the reader and add atmosphere.</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00CC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consistently organise their writing into paragraphs around a theme to add cohesion and aid the reader.</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00FF00"/>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always maintain an accurate tense throughout a piece of writing.</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00FF00"/>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 xml:space="preserve">To always use Standard English verb inflections accurately, e.g. ‘we were’ rather than ‘we </w:t>
                        </w:r>
                        <w:proofErr w:type="gramStart"/>
                        <w:r w:rsidRPr="00F761B3">
                          <w:rPr>
                            <w:rFonts w:ascii="SassoonCRInfant" w:hAnsi="SassoonCRInfant"/>
                            <w:color w:val="292526"/>
                            <w:sz w:val="20"/>
                          </w:rPr>
                          <w:t>was</w:t>
                        </w:r>
                        <w:proofErr w:type="gramEnd"/>
                        <w:r w:rsidRPr="00F761B3">
                          <w:rPr>
                            <w:rFonts w:ascii="SassoonCRInfant" w:hAnsi="SassoonCRInfant"/>
                            <w:color w:val="292526"/>
                            <w:sz w:val="20"/>
                          </w:rPr>
                          <w:t>’, ‘I did’ rather than ‘I done’.</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00FF00"/>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use all the necessary punctuation in direct speech, including a</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58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00FF00"/>
                      </w:tcPr>
                      <w:p w:rsidR="00F761B3" w:rsidRPr="00F761B3" w:rsidRDefault="00F761B3">
                        <w:pPr>
                          <w:pStyle w:val="TableParagraph"/>
                          <w:spacing w:before="75"/>
                          <w:ind w:left="84" w:right="6736"/>
                          <w:rPr>
                            <w:rFonts w:ascii="SassoonCRInfant" w:hAnsi="SassoonCRInfant"/>
                            <w:sz w:val="20"/>
                          </w:rPr>
                        </w:pPr>
                        <w:r w:rsidRPr="00F761B3">
                          <w:rPr>
                            <w:rFonts w:ascii="SassoonCRInfant" w:hAnsi="SassoonCRInfant"/>
                            <w:color w:val="292526"/>
                            <w:sz w:val="20"/>
                          </w:rPr>
                          <w:t>comma after the reporting clause, and all end punctuation within the inverted commas.</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00FF00"/>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consistently use apostrophes for singular and plural possession.</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00FF00"/>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expand noun phrases with the addition of ambitious modifying adjectives and prepositional phrases, e.g. the heroic soldier with an unbreakable spirit.</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404"/>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00FF00"/>
                      </w:tcPr>
                      <w:p w:rsidR="00F761B3" w:rsidRPr="00F761B3" w:rsidRDefault="00F761B3">
                        <w:pPr>
                          <w:pStyle w:val="TableParagraph"/>
                          <w:spacing w:before="107"/>
                          <w:ind w:left="84"/>
                          <w:rPr>
                            <w:rFonts w:ascii="SassoonCRInfant" w:hAnsi="SassoonCRInfant"/>
                            <w:sz w:val="20"/>
                          </w:rPr>
                        </w:pPr>
                        <w:r w:rsidRPr="00F761B3">
                          <w:rPr>
                            <w:rFonts w:ascii="SassoonCRInfant" w:hAnsi="SassoonCRInfant"/>
                            <w:color w:val="292526"/>
                            <w:sz w:val="20"/>
                          </w:rPr>
                          <w:t>To consistently choose nouns or pronouns appropriately to aid cohesion and avoid repetition, e.g. he, she, they, it, etc.</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58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FF66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 xml:space="preserve">To apply all the spelling rules and guidance from Y3/Y4 English Appendix </w:t>
                        </w:r>
                        <w:r w:rsidRPr="00F761B3">
                          <w:rPr>
                            <w:rFonts w:ascii="SassoonCRInfant" w:hAnsi="SassoonCRInfant"/>
                            <w:color w:val="292526"/>
                            <w:w w:val="125"/>
                            <w:sz w:val="20"/>
                          </w:rPr>
                          <w:t xml:space="preserve">1 </w:t>
                        </w:r>
                        <w:r w:rsidRPr="00F761B3">
                          <w:rPr>
                            <w:rFonts w:ascii="SassoonCRInfant" w:hAnsi="SassoonCRInfant"/>
                            <w:color w:val="292526"/>
                            <w:sz w:val="20"/>
                          </w:rPr>
                          <w:t>into their writing (including suggested prefixes, suffixes, homophones and statutory spellings).</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FF66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use their knowledge of word families to help with their spelling.</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FF66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spell all words with suffixes correctly, e.g. usually, poisonous, adoration.</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FF66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spell homophones correctly, e.g. which and witch.</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FF66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spell all of the Year 3 and 4 statutory spelling words correctly.</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r w:rsidR="00F761B3" w:rsidRPr="00F761B3" w:rsidTr="00F761B3">
                    <w:trPr>
                      <w:trHeight w:val="340"/>
                    </w:trPr>
                    <w:tc>
                      <w:tcPr>
                        <w:tcW w:w="501" w:type="dxa"/>
                        <w:vMerge/>
                        <w:tcBorders>
                          <w:top w:val="nil"/>
                        </w:tcBorders>
                        <w:textDirection w:val="btLr"/>
                      </w:tcPr>
                      <w:p w:rsidR="00F761B3" w:rsidRPr="00F761B3" w:rsidRDefault="00F761B3">
                        <w:pPr>
                          <w:rPr>
                            <w:rFonts w:ascii="SassoonCRInfant" w:hAnsi="SassoonCRInfant"/>
                            <w:sz w:val="2"/>
                            <w:szCs w:val="2"/>
                          </w:rPr>
                        </w:pPr>
                      </w:p>
                    </w:tc>
                    <w:tc>
                      <w:tcPr>
                        <w:tcW w:w="13707" w:type="dxa"/>
                        <w:shd w:val="clear" w:color="auto" w:fill="FF66FF"/>
                      </w:tcPr>
                      <w:p w:rsidR="00F761B3" w:rsidRPr="00F761B3" w:rsidRDefault="00F761B3">
                        <w:pPr>
                          <w:pStyle w:val="TableParagraph"/>
                          <w:spacing w:before="75"/>
                          <w:ind w:left="84"/>
                          <w:rPr>
                            <w:rFonts w:ascii="SassoonCRInfant" w:hAnsi="SassoonCRInfant"/>
                            <w:sz w:val="20"/>
                          </w:rPr>
                        </w:pPr>
                        <w:r w:rsidRPr="00F761B3">
                          <w:rPr>
                            <w:rFonts w:ascii="SassoonCRInfant" w:hAnsi="SassoonCRInfant"/>
                            <w:color w:val="292526"/>
                            <w:sz w:val="20"/>
                          </w:rPr>
                          <w:t>To consistently use a neat, joined handwriting style.</w:t>
                        </w: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c>
                      <w:tcPr>
                        <w:tcW w:w="324" w:type="dxa"/>
                      </w:tcPr>
                      <w:p w:rsidR="00F761B3" w:rsidRPr="00F761B3" w:rsidRDefault="00F761B3">
                        <w:pPr>
                          <w:pStyle w:val="TableParagraph"/>
                          <w:rPr>
                            <w:rFonts w:ascii="SassoonCRInfant" w:hAnsi="SassoonCRInfant"/>
                            <w:sz w:val="20"/>
                          </w:rPr>
                        </w:pPr>
                      </w:p>
                    </w:tc>
                  </w:tr>
                </w:tbl>
                <w:p w:rsidR="00F761B3" w:rsidRPr="00920A70" w:rsidRDefault="00F761B3" w:rsidP="00920A70">
                  <w:pPr>
                    <w:rPr>
                      <w:rFonts w:ascii="SassoonCRInfant" w:hAnsi="SassoonCRInfant"/>
                    </w:rPr>
                  </w:pPr>
                </w:p>
              </w:txbxContent>
            </v:textbox>
            <w10:wrap type="square"/>
          </v:shape>
        </w:pict>
      </w:r>
    </w:p>
    <w:sectPr w:rsidR="008050C2" w:rsidRPr="00F761B3">
      <w:pgSz w:w="16840" w:h="23820"/>
      <w:pgMar w:top="420" w:right="360" w:bottom="1040" w:left="380" w:header="0" w:footer="8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47A7" w:rsidRDefault="000847A7">
      <w:r>
        <w:separator/>
      </w:r>
    </w:p>
  </w:endnote>
  <w:endnote w:type="continuationSeparator" w:id="0">
    <w:p w:rsidR="000847A7" w:rsidRDefault="00084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winkl">
    <w:altName w:val="Twinkl"/>
    <w:charset w:val="00"/>
    <w:family w:val="auto"/>
    <w:pitch w:val="variable"/>
    <w:sig w:usb0="A00000AF" w:usb1="5000205B" w:usb2="00000000" w:usb3="00000000" w:csb0="00000093" w:csb1="00000000"/>
    <w:embedRegular r:id="rId1" w:fontKey="{9E5921F6-0903-4714-81B1-83A5B5331E34}"/>
    <w:embedBold r:id="rId2" w:fontKey="{BDCCD9D3-5F62-4D97-B02E-4ECD50E5FFC8}"/>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F3653740-C754-412D-9570-282FFBC7D7F3}"/>
  </w:font>
  <w:font w:name="SassoonCRInfant">
    <w:panose1 w:val="02010503020300020003"/>
    <w:charset w:val="00"/>
    <w:family w:val="auto"/>
    <w:pitch w:val="variable"/>
    <w:sig w:usb0="A00000AF" w:usb1="1000204A" w:usb2="00000000" w:usb3="00000000" w:csb0="00000111" w:csb1="00000000"/>
    <w:embedRegular r:id="rId4" w:fontKey="{1299E93E-F941-46AB-9938-7FAB1E60426C}"/>
    <w:embedBold r:id="rId5" w:fontKey="{9CA627F1-B3C3-463F-95B9-959273AD2BDF}"/>
  </w:font>
  <w:font w:name="Tuffy">
    <w:altName w:val="Calibri"/>
    <w:panose1 w:val="00000000000000000000"/>
    <w:charset w:val="00"/>
    <w:family w:val="swiss"/>
    <w:notTrueType/>
    <w:pitch w:val="variable"/>
    <w:sig w:usb0="E00002FF" w:usb1="520020FB" w:usb2="00000000" w:usb3="00000000" w:csb0="0000019F" w:csb1="00000000"/>
  </w:font>
  <w:font w:name="Cambria">
    <w:panose1 w:val="02040503050406030204"/>
    <w:charset w:val="00"/>
    <w:family w:val="roman"/>
    <w:pitch w:val="variable"/>
    <w:sig w:usb0="E00006FF" w:usb1="420024FF" w:usb2="02000000" w:usb3="00000000" w:csb0="0000019F" w:csb1="00000000"/>
    <w:embedRegular r:id="rId6" w:fontKey="{FC9F8065-6489-4AC5-A7DE-9992B0F0E4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172" w:rsidRDefault="008050C2">
    <w:pPr>
      <w:pStyle w:val="BodyText"/>
      <w:spacing w:before="0" w:line="14" w:lineRule="auto"/>
      <w:rPr>
        <w:sz w:val="20"/>
      </w:rPr>
    </w:pPr>
    <w:r>
      <w:rPr>
        <w:noProof/>
      </w:rPr>
      <w:drawing>
        <wp:anchor distT="0" distB="0" distL="0" distR="0" simplePos="0" relativeHeight="251657216" behindDoc="1" locked="0" layoutInCell="1" allowOverlap="1">
          <wp:simplePos x="0" y="0"/>
          <wp:positionH relativeFrom="page">
            <wp:posOffset>359999</wp:posOffset>
          </wp:positionH>
          <wp:positionV relativeFrom="page">
            <wp:posOffset>14106580</wp:posOffset>
          </wp:positionV>
          <wp:extent cx="10012857" cy="67558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0012857" cy="675589"/>
                  </a:xfrm>
                  <a:prstGeom prst="rect">
                    <a:avLst/>
                  </a:prstGeom>
                </pic:spPr>
              </pic:pic>
            </a:graphicData>
          </a:graphic>
        </wp:anchor>
      </w:drawing>
    </w:r>
    <w:r w:rsidR="00F761B3">
      <w:pict>
        <v:shapetype id="_x0000_t202" coordsize="21600,21600" o:spt="202" path="m,l,21600r21600,l21600,xe">
          <v:stroke joinstyle="miter"/>
          <v:path gradientshapeok="t" o:connecttype="rect"/>
        </v:shapetype>
        <v:shape id="_x0000_s2049" type="#_x0000_t202" style="position:absolute;margin-left:703.25pt;margin-top:1133.15pt;width:55.6pt;height:13.35pt;z-index:-251658240;mso-position-horizontal-relative:page;mso-position-vertical-relative:page" filled="f" stroked="f">
          <v:textbox inset="0,0,0,0">
            <w:txbxContent>
              <w:p w:rsidR="00122172" w:rsidRDefault="008050C2">
                <w:pPr>
                  <w:spacing w:before="51"/>
                  <w:ind w:left="20"/>
                  <w:rPr>
                    <w:rFonts w:ascii="Tuffy"/>
                    <w:b/>
                    <w:sz w:val="15"/>
                  </w:rPr>
                </w:pPr>
                <w:r>
                  <w:rPr>
                    <w:rFonts w:ascii="Tuffy"/>
                    <w:b/>
                    <w:color w:val="292526"/>
                    <w:sz w:val="15"/>
                  </w:rPr>
                  <w:t>visit twinkl.com</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47A7" w:rsidRDefault="000847A7">
      <w:r>
        <w:separator/>
      </w:r>
    </w:p>
  </w:footnote>
  <w:footnote w:type="continuationSeparator" w:id="0">
    <w:p w:rsidR="000847A7" w:rsidRDefault="000847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74536F"/>
    <w:multiLevelType w:val="hybridMultilevel"/>
    <w:tmpl w:val="11344B28"/>
    <w:lvl w:ilvl="0" w:tplc="C630B4AC">
      <w:numFmt w:val="bullet"/>
      <w:lvlText w:val="•"/>
      <w:lvlJc w:val="left"/>
      <w:pPr>
        <w:ind w:left="546" w:hanging="360"/>
      </w:pPr>
      <w:rPr>
        <w:rFonts w:ascii="Twinkl" w:eastAsia="Twinkl" w:hAnsi="Twinkl" w:cs="Twinkl" w:hint="default"/>
        <w:color w:val="292526"/>
        <w:spacing w:val="-18"/>
        <w:w w:val="100"/>
        <w:sz w:val="24"/>
        <w:szCs w:val="24"/>
        <w:lang w:val="en-GB" w:eastAsia="en-GB" w:bidi="en-GB"/>
      </w:rPr>
    </w:lvl>
    <w:lvl w:ilvl="1" w:tplc="DDA4975E">
      <w:numFmt w:val="bullet"/>
      <w:lvlText w:val="•"/>
      <w:lvlJc w:val="left"/>
      <w:pPr>
        <w:ind w:left="2095" w:hanging="360"/>
      </w:pPr>
      <w:rPr>
        <w:rFonts w:hint="default"/>
        <w:lang w:val="en-GB" w:eastAsia="en-GB" w:bidi="en-GB"/>
      </w:rPr>
    </w:lvl>
    <w:lvl w:ilvl="2" w:tplc="7D3E0FF2">
      <w:numFmt w:val="bullet"/>
      <w:lvlText w:val="•"/>
      <w:lvlJc w:val="left"/>
      <w:pPr>
        <w:ind w:left="3651" w:hanging="360"/>
      </w:pPr>
      <w:rPr>
        <w:rFonts w:hint="default"/>
        <w:lang w:val="en-GB" w:eastAsia="en-GB" w:bidi="en-GB"/>
      </w:rPr>
    </w:lvl>
    <w:lvl w:ilvl="3" w:tplc="2446134E">
      <w:numFmt w:val="bullet"/>
      <w:lvlText w:val="•"/>
      <w:lvlJc w:val="left"/>
      <w:pPr>
        <w:ind w:left="5207" w:hanging="360"/>
      </w:pPr>
      <w:rPr>
        <w:rFonts w:hint="default"/>
        <w:lang w:val="en-GB" w:eastAsia="en-GB" w:bidi="en-GB"/>
      </w:rPr>
    </w:lvl>
    <w:lvl w:ilvl="4" w:tplc="02A252C4">
      <w:numFmt w:val="bullet"/>
      <w:lvlText w:val="•"/>
      <w:lvlJc w:val="left"/>
      <w:pPr>
        <w:ind w:left="6763" w:hanging="360"/>
      </w:pPr>
      <w:rPr>
        <w:rFonts w:hint="default"/>
        <w:lang w:val="en-GB" w:eastAsia="en-GB" w:bidi="en-GB"/>
      </w:rPr>
    </w:lvl>
    <w:lvl w:ilvl="5" w:tplc="BA3637E8">
      <w:numFmt w:val="bullet"/>
      <w:lvlText w:val="•"/>
      <w:lvlJc w:val="left"/>
      <w:pPr>
        <w:ind w:left="8318" w:hanging="360"/>
      </w:pPr>
      <w:rPr>
        <w:rFonts w:hint="default"/>
        <w:lang w:val="en-GB" w:eastAsia="en-GB" w:bidi="en-GB"/>
      </w:rPr>
    </w:lvl>
    <w:lvl w:ilvl="6" w:tplc="07FC9F3C">
      <w:numFmt w:val="bullet"/>
      <w:lvlText w:val="•"/>
      <w:lvlJc w:val="left"/>
      <w:pPr>
        <w:ind w:left="9874" w:hanging="360"/>
      </w:pPr>
      <w:rPr>
        <w:rFonts w:hint="default"/>
        <w:lang w:val="en-GB" w:eastAsia="en-GB" w:bidi="en-GB"/>
      </w:rPr>
    </w:lvl>
    <w:lvl w:ilvl="7" w:tplc="470E66B8">
      <w:numFmt w:val="bullet"/>
      <w:lvlText w:val="•"/>
      <w:lvlJc w:val="left"/>
      <w:pPr>
        <w:ind w:left="11430" w:hanging="360"/>
      </w:pPr>
      <w:rPr>
        <w:rFonts w:hint="default"/>
        <w:lang w:val="en-GB" w:eastAsia="en-GB" w:bidi="en-GB"/>
      </w:rPr>
    </w:lvl>
    <w:lvl w:ilvl="8" w:tplc="0178A62C">
      <w:numFmt w:val="bullet"/>
      <w:lvlText w:val="•"/>
      <w:lvlJc w:val="left"/>
      <w:pPr>
        <w:ind w:left="12986"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drawingGridHorizontalSpacing w:val="110"/>
  <w:displayHorizontalDrawingGridEvery w:val="2"/>
  <w:characterSpacingControl w:val="doNotCompress"/>
  <w:hdrShapeDefaults>
    <o:shapedefaults v:ext="edit" spidmax="2051">
      <o:colormenu v:ext="edit" strokecolor="none"/>
    </o:shapedefaults>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122172"/>
    <w:rsid w:val="000847A7"/>
    <w:rsid w:val="00122172"/>
    <w:rsid w:val="001C3502"/>
    <w:rsid w:val="00451F7D"/>
    <w:rsid w:val="00754AD8"/>
    <w:rsid w:val="008050C2"/>
    <w:rsid w:val="00F76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strokecolor="none"/>
    </o:shapedefaults>
    <o:shapelayout v:ext="edit">
      <o:idmap v:ext="edit" data="1"/>
    </o:shapelayout>
  </w:shapeDefaults>
  <w:decimalSymbol w:val="."/>
  <w:listSeparator w:val=","/>
  <w14:docId w14:val="2640A81A"/>
  <w15:docId w15:val="{C6DE2409-B37A-467E-AD94-453049D45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winkl" w:eastAsia="Twinkl" w:hAnsi="Twinkl" w:cs="Twinkl"/>
      <w:lang w:val="en-GB" w:eastAsia="en-GB" w:bidi="en-GB"/>
    </w:rPr>
  </w:style>
  <w:style w:type="paragraph" w:styleId="Heading1">
    <w:name w:val="heading 1"/>
    <w:basedOn w:val="Normal"/>
    <w:uiPriority w:val="1"/>
    <w:qFormat/>
    <w:pPr>
      <w:spacing w:before="170"/>
      <w:ind w:left="186"/>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42"/>
    </w:pPr>
    <w:rPr>
      <w:sz w:val="24"/>
      <w:szCs w:val="24"/>
    </w:rPr>
  </w:style>
  <w:style w:type="paragraph" w:styleId="ListParagraph">
    <w:name w:val="List Paragraph"/>
    <w:basedOn w:val="Normal"/>
    <w:uiPriority w:val="1"/>
    <w:qFormat/>
    <w:pPr>
      <w:spacing w:before="242"/>
      <w:ind w:left="546"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267</Words>
  <Characters>1525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Allan</dc:creator>
  <cp:lastModifiedBy>Louise Allan</cp:lastModifiedBy>
  <cp:revision>2</cp:revision>
  <dcterms:created xsi:type="dcterms:W3CDTF">2022-05-24T10:17:00Z</dcterms:created>
  <dcterms:modified xsi:type="dcterms:W3CDTF">2022-05-24T10:17:00Z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Creator">
    <vt:lpwstr>Adobe InDesign CC 2017 (Windows)</vt:lpwstr>
  </property>
  <property fmtid="{D5CDD505-2E9C-101B-9397-08002B2CF9AE}" pid="4" name="LastSaved">
    <vt:filetime>2020-02-29T00:00:00Z</vt:filetime>
  </property>
</Properties>
</file>